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2C" w:rsidRPr="003B012C" w:rsidRDefault="003B012C" w:rsidP="003B012C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Утвержден</w:t>
      </w:r>
    </w:p>
    <w:p w:rsidR="00EE1446" w:rsidRDefault="003B012C" w:rsidP="00EE1446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 решением Совета по противодействию коррупции </w:t>
      </w:r>
    </w:p>
    <w:p w:rsidR="003B012C" w:rsidRPr="003B012C" w:rsidRDefault="003B012C" w:rsidP="00EE1446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Верхнетоемском муниципальном округе</w:t>
      </w:r>
      <w:r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</w:p>
    <w:p w:rsidR="003B012C" w:rsidRPr="003B012C" w:rsidRDefault="00AE3758" w:rsidP="003B012C">
      <w:pPr>
        <w:widowControl/>
        <w:shd w:val="clear" w:color="auto" w:fill="FFFFFF"/>
        <w:spacing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 27</w:t>
      </w:r>
      <w:bookmarkStart w:id="0" w:name="_GoBack"/>
      <w:bookmarkEnd w:id="0"/>
      <w:r w:rsidR="00410CF9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марта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2023</w:t>
      </w:r>
      <w:r w:rsidR="003B012C" w:rsidRPr="003B012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года</w:t>
      </w:r>
    </w:p>
    <w:p w:rsidR="003B012C" w:rsidRPr="002A63B6" w:rsidRDefault="003B012C">
      <w:pPr>
        <w:pStyle w:val="30"/>
        <w:shd w:val="clear" w:color="auto" w:fill="auto"/>
        <w:spacing w:line="304" w:lineRule="exact"/>
        <w:ind w:right="400"/>
        <w:jc w:val="center"/>
        <w:rPr>
          <w:sz w:val="24"/>
          <w:szCs w:val="24"/>
        </w:rPr>
      </w:pPr>
    </w:p>
    <w:p w:rsidR="00B95F2E" w:rsidRPr="00B95F2E" w:rsidRDefault="00B95F2E" w:rsidP="00B95F2E">
      <w:pPr>
        <w:widowControl/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Доклад</w:t>
      </w:r>
    </w:p>
    <w:p w:rsidR="00B95F2E" w:rsidRPr="00B95F2E" w:rsidRDefault="00B95F2E" w:rsidP="00B95F2E">
      <w:pPr>
        <w:widowControl/>
        <w:shd w:val="clear" w:color="auto" w:fill="FFFFFF"/>
        <w:spacing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об организации системы внутре</w:t>
      </w:r>
      <w:r w:rsidR="00474D2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ннего обеспечения соответствия 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 xml:space="preserve">требованиям антимонопольного законодательства в администрации </w:t>
      </w:r>
      <w:r w:rsidR="00EE1446">
        <w:rPr>
          <w:rFonts w:ascii="Times New Roman" w:eastAsia="Times New Roman" w:hAnsi="Times New Roman" w:cs="Times New Roman"/>
          <w:b/>
          <w:bdr w:val="none" w:sz="0" w:space="0" w:color="auto" w:frame="1"/>
          <w:lang w:bidi="ar-SA"/>
        </w:rPr>
        <w:t>Верхнетоемского муниципального округа</w:t>
      </w:r>
      <w:r w:rsidRPr="00B95F2E">
        <w:rPr>
          <w:rFonts w:ascii="Times New Roman" w:eastAsia="Times New Roman" w:hAnsi="Times New Roman" w:cs="Times New Roman"/>
          <w:b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за 20</w:t>
      </w:r>
      <w:r w:rsidR="00EE14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>22</w:t>
      </w:r>
      <w:r w:rsidRPr="00B95F2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bidi="ar-SA"/>
        </w:rPr>
        <w:t xml:space="preserve"> год</w:t>
      </w:r>
    </w:p>
    <w:p w:rsidR="00B95F2E" w:rsidRPr="00B95F2E" w:rsidRDefault="00B95F2E" w:rsidP="00B95F2E">
      <w:pPr>
        <w:widowControl/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 </w:t>
      </w:r>
    </w:p>
    <w:p w:rsidR="00B95F2E" w:rsidRPr="00B95F2E" w:rsidRDefault="00B95F2E" w:rsidP="00B95F2E">
      <w:pPr>
        <w:widowControl/>
        <w:shd w:val="clear" w:color="auto" w:fill="FFFFFF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B95F2E" w:rsidRPr="00B95F2E" w:rsidRDefault="00B95F2E" w:rsidP="00B95F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постановления 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Правительства Архангельской области от 26 февраля 2019 года № 92-пп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«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О создании и организации системы внутреннего обеспечения соответствия требованиям антимонопольного законодат</w:t>
      </w:r>
      <w:r w:rsidR="00EE1446">
        <w:rPr>
          <w:rFonts w:ascii="Times New Roman" w:eastAsia="Calibri" w:hAnsi="Times New Roman" w:cs="Times New Roman"/>
          <w:color w:val="auto"/>
          <w:lang w:eastAsia="en-US" w:bidi="ar-SA"/>
        </w:rPr>
        <w:t xml:space="preserve">ельства в Архангельской области в администрации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Вер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хнетоемского муниципального округа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(далее – Администрация) постановлением от 12 апреля 2019 года № 19/4 создана  система внутреннего обеспечения соответствия требованиям антимонопольного законодательства (далее – антимонопольный комплаенс).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2A63B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Указанное постановление</w:t>
      </w:r>
      <w:r w:rsid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2258-р.</w:t>
      </w:r>
    </w:p>
    <w:p w:rsidR="00B95F2E" w:rsidRPr="00B95F2E" w:rsidRDefault="00B95F2E" w:rsidP="00B95F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Распоряжением Администрации от 12 апреля 2019 года № 9/17р «Об определении уполномоченных органов» функциями уполномоченного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органа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Администрации, </w:t>
      </w:r>
      <w:r w:rsidRPr="00B95F2E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ответственного за осуществление организации системы внутреннего обеспечения соответствия требованиям антимонопольного законодательства, наделен правовой отдел Администрации. 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Коллегиал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ьным органом для осуществления 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оценки  эффективности организации и функционирования  в Администрации антимонопольного комплаенса   данным распоряжением определен </w:t>
      </w:r>
      <w:r w:rsidRPr="00B95F2E">
        <w:rPr>
          <w:rFonts w:ascii="Times New Roman" w:eastAsia="Times New Roman" w:hAnsi="Times New Roman" w:cs="Times New Roman"/>
          <w:color w:val="auto"/>
          <w:lang w:bidi="ar-SA"/>
        </w:rPr>
        <w:t>Совет</w:t>
      </w:r>
      <w:r w:rsidR="00EE1446">
        <w:rPr>
          <w:rFonts w:ascii="Times New Roman" w:eastAsia="Times New Roman" w:hAnsi="Times New Roman" w:cs="Times New Roman"/>
          <w:color w:val="auto"/>
          <w:lang w:bidi="ar-SA"/>
        </w:rPr>
        <w:t xml:space="preserve"> по противодействию коррупции в Верхнетоемском муниципальном округе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 целях обеспечения открытости и доступа к информации на официальном сайте Администрации создан раздел «Антимонопольный комплаенс».</w:t>
      </w:r>
    </w:p>
    <w:p w:rsidR="008A56C3" w:rsidRDefault="00B95F2E" w:rsidP="008A56C3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 соответствии с вышеуказанными нормативными актами в Администрации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в 2022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году осуществлялись мероприятия по развитию антимонопольного комплаенса.</w:t>
      </w:r>
      <w:r w:rsidRPr="002A63B6"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</w:p>
    <w:p w:rsidR="00B95F2E" w:rsidRPr="00B95F2E" w:rsidRDefault="008A56C3" w:rsidP="008A56C3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В целях выявления о оценки рисков нарушения</w:t>
      </w:r>
      <w:r w:rsidR="00EE144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антимонопольного 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законодательства  уполномоченным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органом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совместно с другими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="0089525C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Администрации  проводится ряд мероприятий.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Во исполнение пункта  7 Положения  об организации системы внутреннего обеспечении  соответствия  требованиям антимонопольного законодательства  в администрации муниципального образования «Верхнетоемский муниципальный район», утвержденного  постановлением Администрации от 12 апреля 2019 года № 19/4 (далее – Положение об 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антимонопольном комплаенсе) 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уполномоченным органом</w:t>
      </w:r>
      <w:r w:rsidR="00FB617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Администрации проведен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сбор и анализ информации о наличии нарушений антимонопольного законодательства в деятельности Администрации за предыдущие три года.</w:t>
      </w:r>
      <w:r w:rsidR="008A56C3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 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 результатам  проведенного анализа установлено следующее:</w:t>
      </w:r>
    </w:p>
    <w:p w:rsidR="00B95F2E" w:rsidRPr="00B95F2E" w:rsidRDefault="008D261B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lastRenderedPageBreak/>
        <w:t>1) рассмотрено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одно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дел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вопросу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нарушения Администрацией 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норм антимонопольно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го законодательства в Арбитражном суде Архангельской области – по исковому заявлению Прокуратуры Архангельской области о признании недействительным договора аренды (дело № А05-4147/2022)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B95F2E" w:rsidRPr="00B95F2E" w:rsidRDefault="004A28DB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2) в двух муниципальных нормативных правовых актах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Верхнетоемского муниципального округа 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УФАС России по Архангельской области  выявлены нарушения антимонопольного законодательства в указанный период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="009671EA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(постановления о введении режима повышенной готовности)</w:t>
      </w:r>
      <w:r w:rsidR="001211F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B95F2E" w:rsidRPr="00B95F2E" w:rsidRDefault="001211FD" w:rsidP="002A63B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3)</w:t>
      </w:r>
      <w:r w:rsidR="00B95F2E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в связи с  выявленными нарушениями антимонопольного </w:t>
      </w: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законодательства за период 2020-2022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годов  в Администрацию УФАС по Архангельской  области  было направлено </w:t>
      </w: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6</w:t>
      </w:r>
      <w:r w:rsidR="00B95F2E" w:rsidRPr="002A63B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предупреждений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 прекращении действий (бездействия), которые содержат признаки нарушения антимонопольного законодательства (договоры аренды объектов теплоснабжения, водоснабжения и водоотведения заключены без проведения торгов):  нарушения устранены, договоры расторгнуты, внесены изменения в акты</w:t>
      </w:r>
      <w:r w:rsidR="002A63B6" w:rsidRPr="002A63B6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.</w:t>
      </w:r>
    </w:p>
    <w:p w:rsidR="00FB6172" w:rsidRDefault="002A63B6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A63B6">
        <w:rPr>
          <w:rFonts w:ascii="Times New Roman" w:eastAsia="Times New Roman" w:hAnsi="Times New Roman" w:cs="Times New Roman"/>
          <w:color w:val="auto"/>
        </w:rPr>
        <w:t>В результате сбора сведе</w:t>
      </w:r>
      <w:r w:rsidR="009671EA">
        <w:rPr>
          <w:rFonts w:ascii="Times New Roman" w:eastAsia="Times New Roman" w:hAnsi="Times New Roman" w:cs="Times New Roman"/>
          <w:color w:val="auto"/>
        </w:rPr>
        <w:t>ний от отраслевых (функциональных) органов</w:t>
      </w:r>
      <w:r w:rsidRPr="002A63B6">
        <w:rPr>
          <w:rFonts w:ascii="Times New Roman" w:eastAsia="Times New Roman" w:hAnsi="Times New Roman" w:cs="Times New Roman"/>
          <w:color w:val="auto"/>
        </w:rPr>
        <w:t xml:space="preserve"> Администрации о нарушениях антимонопольного законодательства в деятельности </w:t>
      </w:r>
      <w:r w:rsidR="009671EA">
        <w:rPr>
          <w:rFonts w:ascii="Times New Roman" w:eastAsia="Times New Roman" w:hAnsi="Times New Roman" w:cs="Times New Roman"/>
          <w:color w:val="auto"/>
        </w:rPr>
        <w:t>Администрации за 2022</w:t>
      </w:r>
      <w:r w:rsidRPr="002A63B6">
        <w:rPr>
          <w:rFonts w:ascii="Times New Roman" w:eastAsia="Times New Roman" w:hAnsi="Times New Roman" w:cs="Times New Roman"/>
          <w:color w:val="auto"/>
        </w:rPr>
        <w:t xml:space="preserve"> год установлено, что нарушения указанной категории выявлялись</w:t>
      </w:r>
      <w:r w:rsidR="00FB6172">
        <w:rPr>
          <w:rFonts w:ascii="Times New Roman" w:eastAsia="Times New Roman" w:hAnsi="Times New Roman" w:cs="Times New Roman"/>
          <w:color w:val="auto"/>
        </w:rPr>
        <w:t>:</w:t>
      </w:r>
    </w:p>
    <w:p w:rsidR="00FB6172" w:rsidRDefault="009671EA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1)</w:t>
      </w:r>
      <w:r w:rsidR="002A63B6" w:rsidRPr="002A63B6">
        <w:rPr>
          <w:rFonts w:ascii="Times New Roman" w:eastAsia="Times New Roman" w:hAnsi="Times New Roman" w:cs="Times New Roman"/>
          <w:color w:val="auto"/>
        </w:rPr>
        <w:t xml:space="preserve"> </w:t>
      </w:r>
      <w:r w:rsid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УФАС по Архангельской 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области </w:t>
      </w:r>
      <w:r w:rsidR="002A63B6" w:rsidRPr="002A63B6">
        <w:rPr>
          <w:rFonts w:ascii="Times New Roman" w:eastAsia="Times New Roman" w:hAnsi="Times New Roman" w:cs="Times New Roman"/>
          <w:color w:val="auto"/>
        </w:rPr>
        <w:t>выдано 1 предупреждение о прекращении действий (бездействия), которые содержат признаки нарушения антимонопольного законодат</w:t>
      </w:r>
      <w:r>
        <w:rPr>
          <w:rFonts w:ascii="Times New Roman" w:eastAsia="Times New Roman" w:hAnsi="Times New Roman" w:cs="Times New Roman"/>
          <w:color w:val="auto"/>
        </w:rPr>
        <w:t>ельства от 28</w:t>
      </w:r>
      <w:r w:rsidR="00FB6172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апреля 2022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года по факту предоставление в пользование ООО «</w:t>
      </w:r>
      <w:r>
        <w:rPr>
          <w:rFonts w:ascii="Times New Roman" w:eastAsia="Times New Roman" w:hAnsi="Times New Roman" w:cs="Times New Roman"/>
          <w:color w:val="auto"/>
        </w:rPr>
        <w:t>МПМК» объектов водо</w:t>
      </w:r>
      <w:r w:rsidR="00FB6172">
        <w:rPr>
          <w:rFonts w:ascii="Times New Roman" w:eastAsia="Times New Roman" w:hAnsi="Times New Roman" w:cs="Times New Roman"/>
          <w:color w:val="auto"/>
        </w:rPr>
        <w:t>оснабжения</w:t>
      </w:r>
      <w:r>
        <w:rPr>
          <w:rFonts w:ascii="Times New Roman" w:eastAsia="Times New Roman" w:hAnsi="Times New Roman" w:cs="Times New Roman"/>
          <w:color w:val="auto"/>
        </w:rPr>
        <w:t xml:space="preserve"> и водоотведения на условиях договора аренды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auto"/>
        </w:rPr>
        <w:t>п. Двинской</w:t>
      </w:r>
      <w:r w:rsidR="00FB6172">
        <w:rPr>
          <w:rFonts w:ascii="Times New Roman" w:eastAsia="Times New Roman" w:hAnsi="Times New Roman" w:cs="Times New Roman"/>
          <w:color w:val="auto"/>
        </w:rPr>
        <w:t xml:space="preserve"> без проведения торгов. Срок устранения нарушений установлен до 01.06.2022 года;</w:t>
      </w:r>
    </w:p>
    <w:p w:rsidR="009671EA" w:rsidRPr="00B95F2E" w:rsidRDefault="009671EA" w:rsidP="009671EA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Арбитражным судом Архангельской области признан недействительным договор аренды от 14 июля 2021 года № 76/2021, заключенный между Администрацией и ООО «УК «Уютный город» (дело № А05-4147/2022)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  <w:r w:rsidRPr="009671EA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="0089525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</w:p>
    <w:p w:rsidR="002A63B6" w:rsidRPr="00FB6172" w:rsidRDefault="0089525C" w:rsidP="002A63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="00FB6172" w:rsidRPr="00FB61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63B6" w:rsidRPr="00FB6172">
        <w:rPr>
          <w:rFonts w:ascii="Times New Roman" w:eastAsia="Times New Roman" w:hAnsi="Times New Roman" w:cs="Times New Roman"/>
          <w:color w:val="auto"/>
        </w:rPr>
        <w:t xml:space="preserve">предостережения, штрафы, возбужденные </w:t>
      </w:r>
      <w:r>
        <w:rPr>
          <w:rFonts w:ascii="Times New Roman" w:eastAsia="Times New Roman" w:hAnsi="Times New Roman" w:cs="Times New Roman"/>
          <w:color w:val="auto"/>
        </w:rPr>
        <w:t xml:space="preserve">административные </w:t>
      </w:r>
      <w:r w:rsidR="002A63B6" w:rsidRPr="00FB6172">
        <w:rPr>
          <w:rFonts w:ascii="Times New Roman" w:eastAsia="Times New Roman" w:hAnsi="Times New Roman" w:cs="Times New Roman"/>
          <w:color w:val="auto"/>
        </w:rPr>
        <w:t>дела за нарушение антимонопольного законодательства - отсутствуют.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FB617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Во исполнение пункта 12 Положения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об антимонопольном комплаенсе, а также в целях выявления и исключения рисков нарушения </w:t>
      </w: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антимонопольного  законодательства правовым отделом Администрации постоянно проводится анализ нормативных правовых актов Администрации на соответствие их антимонопольному  законодательству, при выявлении нарушения антимонопольного законодательства и при необходимости в них вносятся изменения, проводится правовая экспертиза проектов муниципальных нормативных правовых актов, проекты направляются для проведения антикоррупционной экспертизы в прокуратуру Верхнетоемского района.</w:t>
      </w:r>
    </w:p>
    <w:p w:rsidR="00B95F2E" w:rsidRPr="00B95F2E" w:rsidRDefault="00B95F2E" w:rsidP="002A63B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B95F2E">
        <w:rPr>
          <w:rFonts w:ascii="Times New Roman" w:eastAsia="Calibri" w:hAnsi="Times New Roman" w:cs="Times New Roman"/>
          <w:color w:val="auto"/>
          <w:lang w:eastAsia="en-US" w:bidi="ar-SA"/>
        </w:rPr>
        <w:t>Муниципальные нормативные правовые акты</w:t>
      </w:r>
      <w:r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размещаются  на официальном сайте Администрации.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целях выявления рисков нарушения антимонопольного законодательства уполномоченным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органом Администрации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осуществляется ряд мероприятий, предусмотренных Положением об антим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онопольном комплаенсе:</w:t>
      </w:r>
    </w:p>
    <w:p w:rsidR="00B95F2E" w:rsidRPr="00B95F2E" w:rsidRDefault="00B95F2E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-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совместно с другими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Администрации анализируются возможные риски нарушения ан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тимонопольного законодательства, 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проводится оценка выявленных рисков с учетом ряда показателей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,</w:t>
      </w:r>
      <w:r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  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</w:p>
    <w:p w:rsidR="00B95F2E" w:rsidRPr="00B95F2E" w:rsidRDefault="009109EA" w:rsidP="00B95F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-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проводятся в рабочем режиме обсуждения с 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 Администрации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 с целью анализа результатов проводимой р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аботы.</w:t>
      </w:r>
    </w:p>
    <w:p w:rsidR="00B95F2E" w:rsidRPr="00B95F2E" w:rsidRDefault="00474D25" w:rsidP="00B95F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По   результатам 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проведения оценки рисков нарушения ан</w:t>
      </w:r>
      <w:r w:rsidR="0089525C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тимонопольного законодательства уполномоченным органом</w:t>
      </w:r>
      <w:r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 </w:t>
      </w:r>
      <w:r w:rsidR="00B95F2E" w:rsidRPr="00B95F2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ежегодно составляется Карта рисков нарушения ан</w:t>
      </w:r>
      <w:r w:rsidR="002A63B6" w:rsidRPr="002A63B6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тимонопольного законодательства.</w:t>
      </w:r>
    </w:p>
    <w:p w:rsidR="009109EA" w:rsidRPr="00B95F2E" w:rsidRDefault="00474D25" w:rsidP="009109E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lastRenderedPageBreak/>
        <w:t>В целях снижения </w:t>
      </w:r>
      <w:r w:rsidR="009109EA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рисков нарушения ант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имонопольного законодательства </w:t>
      </w:r>
      <w:r w:rsidR="009109EA" w:rsidRPr="00B95F2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ежегодно разрабатывается План мероприятий («дорожная карта») по снижению рисков нарушения антимонопольного законодательства  в Администрации. </w:t>
      </w:r>
    </w:p>
    <w:p w:rsidR="00B95F2E" w:rsidRPr="00B95F2E" w:rsidRDefault="00474D25" w:rsidP="00B95F2E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В целях исключения 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положений, противоречащих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нормам </w:t>
      </w:r>
      <w:r w:rsidR="009109E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   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антимонопольного  законодательства, на стадии разработки проектов нормативных правовых актов,  муниципальных контрактов, договоров, соглашений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уполномоченным органом Администрации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на постоянной основе проводится правовая экспертиза проектов указанных документов, подготовленных </w:t>
      </w:r>
      <w:r w:rsidR="0089525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отраслевыми (функциональными) органами</w:t>
      </w:r>
      <w:r w:rsidR="0089525C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</w:t>
      </w:r>
      <w:r w:rsidR="00B95F2E" w:rsidRPr="00B95F2E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Администрации.</w:t>
      </w:r>
    </w:p>
    <w:p w:rsidR="00693B42" w:rsidRPr="002A63B6" w:rsidRDefault="00382CFF" w:rsidP="000B22B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A63B6">
        <w:rPr>
          <w:sz w:val="24"/>
          <w:szCs w:val="24"/>
        </w:rPr>
        <w:t>При проведении закупок товаров, работ, услуг уполномоченные лица на постоянной основе осуществляли проверки и согласовывали разработанную сотрудниками Администрации д</w:t>
      </w:r>
      <w:r w:rsidR="003B012C" w:rsidRPr="002A63B6">
        <w:rPr>
          <w:sz w:val="24"/>
          <w:szCs w:val="24"/>
        </w:rPr>
        <w:t>окументацию в сфере муниципаль</w:t>
      </w:r>
      <w:r w:rsidRPr="002A63B6">
        <w:rPr>
          <w:sz w:val="24"/>
          <w:szCs w:val="24"/>
        </w:rPr>
        <w:t>ных закупок, а также осуществляли сбор информации об изменениях федерального законодательства и основных аспектах правоприменительной практики в сфере антимонопольного комплаенса, консультировали сотрудников Администрации по вопросам, связанным с соблюдением антимонопольного законодательства.</w:t>
      </w:r>
    </w:p>
    <w:p w:rsidR="009C6B29" w:rsidRDefault="002A63B6" w:rsidP="009C6B29">
      <w:pPr>
        <w:ind w:firstLine="709"/>
        <w:jc w:val="both"/>
      </w:pPr>
      <w:r w:rsidRPr="002A63B6">
        <w:rPr>
          <w:rFonts w:ascii="Times New Roman" w:hAnsi="Times New Roman" w:cs="Times New Roman"/>
        </w:rPr>
        <w:t>Уровень риска нарушения антимонопольного законодательс</w:t>
      </w:r>
      <w:r w:rsidR="0089525C">
        <w:rPr>
          <w:rFonts w:ascii="Times New Roman" w:hAnsi="Times New Roman" w:cs="Times New Roman"/>
        </w:rPr>
        <w:t>тва за 2022</w:t>
      </w:r>
      <w:r w:rsidR="009109EA">
        <w:rPr>
          <w:rFonts w:ascii="Times New Roman" w:hAnsi="Times New Roman" w:cs="Times New Roman"/>
        </w:rPr>
        <w:t xml:space="preserve"> год остается существенным</w:t>
      </w:r>
      <w:r w:rsidRPr="002A63B6">
        <w:rPr>
          <w:rFonts w:ascii="Times New Roman" w:hAnsi="Times New Roman" w:cs="Times New Roman"/>
        </w:rPr>
        <w:t xml:space="preserve"> в связи с отсутствием заключенных концессионных соглашений по причине </w:t>
      </w:r>
      <w:r w:rsidR="0089525C">
        <w:rPr>
          <w:rFonts w:ascii="Times New Roman" w:hAnsi="Times New Roman" w:cs="Times New Roman"/>
        </w:rPr>
        <w:t xml:space="preserve">отсутствия потенциальных инвесторов и </w:t>
      </w:r>
      <w:r w:rsidRPr="002A63B6">
        <w:rPr>
          <w:rFonts w:ascii="Times New Roman" w:hAnsi="Times New Roman" w:cs="Times New Roman"/>
        </w:rPr>
        <w:t xml:space="preserve">большого количества проблемных моментов </w:t>
      </w:r>
      <w:r>
        <w:rPr>
          <w:rFonts w:ascii="Times New Roman" w:hAnsi="Times New Roman" w:cs="Times New Roman"/>
        </w:rPr>
        <w:t>в законодательстве данной сферы.</w:t>
      </w:r>
    </w:p>
    <w:p w:rsidR="009C6B29" w:rsidRDefault="009C6B29" w:rsidP="009C6B29">
      <w:pPr>
        <w:ind w:firstLine="709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</w:rPr>
        <w:t xml:space="preserve">Администрацией начата работа по приватизации объектов теплоснабжения, находящихся в муниципальной собственности, в связи с отсутствием потенциальных концессионеров и запретом на передачу их в аренду. В прогнозный план приватизации муниципального имущества на 2022 год </w:t>
      </w:r>
      <w:r w:rsidR="0089525C">
        <w:rPr>
          <w:rFonts w:ascii="Times New Roman" w:hAnsi="Times New Roman" w:cs="Times New Roman"/>
        </w:rPr>
        <w:t xml:space="preserve">было </w:t>
      </w:r>
      <w:r w:rsidRPr="002A63B6">
        <w:rPr>
          <w:rFonts w:ascii="Times New Roman" w:hAnsi="Times New Roman" w:cs="Times New Roman"/>
        </w:rPr>
        <w:t xml:space="preserve">включено 15 объектов теплоснабжения. </w:t>
      </w:r>
    </w:p>
    <w:p w:rsidR="00693B42" w:rsidRPr="002A63B6" w:rsidRDefault="00693B42" w:rsidP="002A63B6">
      <w:pPr>
        <w:ind w:firstLine="709"/>
        <w:jc w:val="both"/>
        <w:rPr>
          <w:rFonts w:ascii="Times New Roman" w:hAnsi="Times New Roman" w:cs="Times New Roman"/>
        </w:rPr>
      </w:pPr>
    </w:p>
    <w:p w:rsidR="003B012C" w:rsidRPr="000B22BA" w:rsidRDefault="003B012C" w:rsidP="000B22B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41B89" w:rsidRPr="000B22BA" w:rsidRDefault="00B41B89" w:rsidP="000B22BA">
      <w:pPr>
        <w:ind w:firstLine="709"/>
        <w:jc w:val="both"/>
        <w:rPr>
          <w:rFonts w:ascii="Times New Roman" w:hAnsi="Times New Roman" w:cs="Times New Roman"/>
        </w:rPr>
      </w:pPr>
    </w:p>
    <w:p w:rsidR="00B41B89" w:rsidRPr="000B22BA" w:rsidRDefault="00B41B89" w:rsidP="000B22BA">
      <w:pPr>
        <w:ind w:firstLine="709"/>
        <w:rPr>
          <w:rFonts w:ascii="Times New Roman" w:hAnsi="Times New Roman" w:cs="Times New Roman"/>
        </w:rPr>
      </w:pPr>
    </w:p>
    <w:p w:rsidR="00B41B89" w:rsidRPr="00B41B89" w:rsidRDefault="00B41B89" w:rsidP="00B41B89">
      <w:pPr>
        <w:rPr>
          <w:rFonts w:ascii="Times New Roman" w:hAnsi="Times New Roman" w:cs="Times New Roman"/>
          <w:sz w:val="2"/>
          <w:szCs w:val="2"/>
        </w:rPr>
      </w:pPr>
    </w:p>
    <w:p w:rsidR="00693B42" w:rsidRDefault="001F7A2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.4pt;margin-top:.1pt;width:7.75pt;height:12.2pt;z-index:251657728;mso-wrap-distance-left:5pt;mso-wrap-distance-right:5pt;mso-position-horizontal-relative:margin" filled="f" stroked="f">
            <v:textbox style="mso-fit-shape-to-text:t" inset="0,0,0,0">
              <w:txbxContent>
                <w:p w:rsidR="00693B42" w:rsidRDefault="00693B42">
                  <w:pPr>
                    <w:pStyle w:val="4"/>
                    <w:shd w:val="clear" w:color="auto" w:fill="auto"/>
                    <w:spacing w:line="17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5.9pt;margin-top:315.25pt;width:6.4pt;height:14.7pt;z-index:251657729;mso-wrap-distance-left:5pt;mso-wrap-distance-right:5pt;mso-position-horizontal-relative:margin" filled="f" stroked="f">
            <v:textbox style="mso-fit-shape-to-text:t" inset="0,0,0,0">
              <w:txbxContent>
                <w:p w:rsidR="00693B42" w:rsidRDefault="00693B42">
                  <w:pPr>
                    <w:pStyle w:val="5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 w:rsidR="000B22BA">
        <w:t xml:space="preserve"> </w:t>
      </w:r>
    </w:p>
    <w:p w:rsidR="00693B42" w:rsidRDefault="00693B42">
      <w:pPr>
        <w:spacing w:line="360" w:lineRule="exact"/>
      </w:pPr>
    </w:p>
    <w:p w:rsidR="00693B42" w:rsidRDefault="00693B42">
      <w:pPr>
        <w:spacing w:line="360" w:lineRule="exact"/>
      </w:pPr>
    </w:p>
    <w:p w:rsidR="00693B42" w:rsidRDefault="00693B42">
      <w:pPr>
        <w:rPr>
          <w:sz w:val="2"/>
          <w:szCs w:val="2"/>
        </w:rPr>
      </w:pPr>
    </w:p>
    <w:sectPr w:rsidR="00693B42" w:rsidSect="000B22BA">
      <w:footerReference w:type="even" r:id="rId7"/>
      <w:type w:val="continuous"/>
      <w:pgSz w:w="12240" w:h="15840"/>
      <w:pgMar w:top="1395" w:right="1158" w:bottom="77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26" w:rsidRDefault="001F7A26" w:rsidP="00693B42">
      <w:r>
        <w:separator/>
      </w:r>
    </w:p>
  </w:endnote>
  <w:endnote w:type="continuationSeparator" w:id="0">
    <w:p w:rsidR="001F7A26" w:rsidRDefault="001F7A26" w:rsidP="006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42" w:rsidRDefault="001F7A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44.4pt;width:4.05pt;height:6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93B42" w:rsidRDefault="00693B4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26" w:rsidRDefault="001F7A26"/>
  </w:footnote>
  <w:footnote w:type="continuationSeparator" w:id="0">
    <w:p w:rsidR="001F7A26" w:rsidRDefault="001F7A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6437"/>
    <w:multiLevelType w:val="multilevel"/>
    <w:tmpl w:val="111CD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3B42"/>
    <w:rsid w:val="0007372D"/>
    <w:rsid w:val="000B22BA"/>
    <w:rsid w:val="001211FD"/>
    <w:rsid w:val="001A5D4E"/>
    <w:rsid w:val="001B17AC"/>
    <w:rsid w:val="001E6EAF"/>
    <w:rsid w:val="001F7A26"/>
    <w:rsid w:val="002243C2"/>
    <w:rsid w:val="002A63B6"/>
    <w:rsid w:val="002D38AB"/>
    <w:rsid w:val="00356AEC"/>
    <w:rsid w:val="00382CFF"/>
    <w:rsid w:val="003B012C"/>
    <w:rsid w:val="00410CF9"/>
    <w:rsid w:val="00474D25"/>
    <w:rsid w:val="00497C7D"/>
    <w:rsid w:val="004A28DB"/>
    <w:rsid w:val="005E5F3C"/>
    <w:rsid w:val="00664E9D"/>
    <w:rsid w:val="00693B42"/>
    <w:rsid w:val="006B3586"/>
    <w:rsid w:val="006F4471"/>
    <w:rsid w:val="00703F4C"/>
    <w:rsid w:val="008178F4"/>
    <w:rsid w:val="0089525C"/>
    <w:rsid w:val="008A56C3"/>
    <w:rsid w:val="008D261B"/>
    <w:rsid w:val="009109EA"/>
    <w:rsid w:val="009671EA"/>
    <w:rsid w:val="009C6B29"/>
    <w:rsid w:val="00A36B55"/>
    <w:rsid w:val="00A37E51"/>
    <w:rsid w:val="00A52A2B"/>
    <w:rsid w:val="00A63A00"/>
    <w:rsid w:val="00A77241"/>
    <w:rsid w:val="00AB370D"/>
    <w:rsid w:val="00AE3758"/>
    <w:rsid w:val="00B41B89"/>
    <w:rsid w:val="00B85086"/>
    <w:rsid w:val="00B95F2E"/>
    <w:rsid w:val="00B96148"/>
    <w:rsid w:val="00CC1E99"/>
    <w:rsid w:val="00CD6970"/>
    <w:rsid w:val="00D210DF"/>
    <w:rsid w:val="00EE1446"/>
    <w:rsid w:val="00FB6172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D7060B-0E68-4959-9962-5A3E1BA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6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B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3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693B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9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693B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693B42"/>
    <w:pPr>
      <w:shd w:val="clear" w:color="auto" w:fill="FFFFFF"/>
      <w:spacing w:line="30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93B42"/>
    <w:pPr>
      <w:shd w:val="clear" w:color="auto" w:fill="FFFFFF"/>
      <w:spacing w:after="900" w:line="3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693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a"/>
    <w:link w:val="4Exact"/>
    <w:rsid w:val="00693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 (5)"/>
    <w:basedOn w:val="a"/>
    <w:link w:val="5Exact"/>
    <w:rsid w:val="00693B42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styleId="a7">
    <w:name w:val="header"/>
    <w:basedOn w:val="a"/>
    <w:link w:val="a8"/>
    <w:uiPriority w:val="99"/>
    <w:semiHidden/>
    <w:unhideWhenUsed/>
    <w:rsid w:val="001E6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E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E6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EA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D69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69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Алёна Алексеевна</dc:creator>
  <cp:lastModifiedBy>катя</cp:lastModifiedBy>
  <cp:revision>21</cp:revision>
  <cp:lastPrinted>2023-02-01T06:50:00Z</cp:lastPrinted>
  <dcterms:created xsi:type="dcterms:W3CDTF">2022-02-08T06:34:00Z</dcterms:created>
  <dcterms:modified xsi:type="dcterms:W3CDTF">2024-02-07T12:20:00Z</dcterms:modified>
</cp:coreProperties>
</file>