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E00F91">
        <w:rPr>
          <w:sz w:val="24"/>
          <w:szCs w:val="24"/>
        </w:rPr>
        <w:t>33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E00F91">
        <w:t>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9D4E52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EE5513" w:rsidRPr="00EE5513">
        <w:t xml:space="preserve">для эксплуатации объекта электросетевого </w:t>
      </w:r>
      <w:proofErr w:type="gramStart"/>
      <w:r w:rsidR="00EE5513" w:rsidRPr="00EE5513">
        <w:t xml:space="preserve">хозяйства: </w:t>
      </w:r>
      <w:r w:rsidR="008C3468">
        <w:t xml:space="preserve">  </w:t>
      </w:r>
      <w:proofErr w:type="gramEnd"/>
      <w:r w:rsidR="008C3468">
        <w:t xml:space="preserve"> </w:t>
      </w:r>
      <w:r w:rsidR="008C3468" w:rsidRPr="008C3468">
        <w:t>ВЛ-0,4кВ</w:t>
      </w:r>
      <w:r w:rsidR="008C3468">
        <w:t xml:space="preserve"> от опоры ф. «Контора» </w:t>
      </w:r>
      <w:r w:rsidR="008C3468" w:rsidRPr="008C3468">
        <w:t>ЗТП-400кВа «Торговый центр»</w:t>
      </w:r>
      <w:r w:rsidR="003D0F79" w:rsidRPr="003D0F79">
        <w:t xml:space="preserve"> </w:t>
      </w:r>
      <w:r w:rsidR="00EE5513" w:rsidRPr="00EE5513">
        <w:t xml:space="preserve">в отношении земель кадастрового квартала </w:t>
      </w:r>
      <w:r w:rsidR="008C3468" w:rsidRPr="008C3468">
        <w:t>29:02:010101</w:t>
      </w:r>
      <w:r w:rsidR="00EE5513">
        <w:t xml:space="preserve"> общей площадью </w:t>
      </w:r>
      <w:r w:rsidR="008C3468">
        <w:t>204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="008C3468">
        <w:t>тся справка от 31 мая 2023 года № 1366.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</w:t>
      </w:r>
      <w:r w:rsidRPr="00DB179E">
        <w:lastRenderedPageBreak/>
        <w:t>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609E3"/>
    <w:rsid w:val="008C3468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E00F91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50</cp:revision>
  <cp:lastPrinted>2023-07-26T08:33:00Z</cp:lastPrinted>
  <dcterms:created xsi:type="dcterms:W3CDTF">2020-09-04T08:14:00Z</dcterms:created>
  <dcterms:modified xsi:type="dcterms:W3CDTF">2023-07-26T08:34:00Z</dcterms:modified>
</cp:coreProperties>
</file>